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D5" w:rsidRDefault="008E76D5" w:rsidP="008E76D5">
      <w:pPr>
        <w:pStyle w:val="BasistekstGGNet"/>
        <w:rPr>
          <w:rFonts w:ascii="Calibri" w:hAnsi="Calibri" w:cs="Calibri"/>
          <w:sz w:val="22"/>
          <w:szCs w:val="22"/>
        </w:rPr>
      </w:pPr>
      <w:r w:rsidRPr="00B13B6A">
        <w:rPr>
          <w:rFonts w:ascii="Calibri" w:hAnsi="Calibri" w:cs="Calibri"/>
          <w:sz w:val="22"/>
          <w:szCs w:val="22"/>
        </w:rPr>
        <w:t xml:space="preserve">Symposium VerslavingsPsychiatrie  ‘je </w:t>
      </w:r>
      <w:r w:rsidRPr="00B13B6A">
        <w:rPr>
          <w:rFonts w:ascii="Calibri" w:hAnsi="Calibri" w:cs="Calibri"/>
          <w:i/>
          <w:sz w:val="28"/>
          <w:szCs w:val="28"/>
        </w:rPr>
        <w:t>ken</w:t>
      </w:r>
      <w:r w:rsidR="003318A7">
        <w:rPr>
          <w:rFonts w:ascii="Calibri" w:hAnsi="Calibri" w:cs="Calibri"/>
          <w:sz w:val="22"/>
          <w:szCs w:val="22"/>
        </w:rPr>
        <w:t xml:space="preserve"> er niet meer omheen’</w:t>
      </w:r>
    </w:p>
    <w:p w:rsidR="00E84AA9" w:rsidRDefault="00E84AA9" w:rsidP="008E76D5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8E76D5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Pr="00B13B6A" w:rsidRDefault="0075468F" w:rsidP="008E76D5">
      <w:pPr>
        <w:pStyle w:val="BasistekstGGNet"/>
        <w:rPr>
          <w:rFonts w:ascii="Calibri" w:hAnsi="Calibri" w:cs="Calibri"/>
          <w:sz w:val="22"/>
          <w:szCs w:val="22"/>
        </w:rPr>
      </w:pPr>
    </w:p>
    <w:p w:rsidR="005B3049" w:rsidRDefault="00B13B6A" w:rsidP="008E76D5">
      <w:pPr>
        <w:pStyle w:val="BasistekstGGNet"/>
        <w:rPr>
          <w:rFonts w:ascii="Calibri" w:hAnsi="Calibri" w:cs="Calibri"/>
          <w:sz w:val="22"/>
          <w:szCs w:val="22"/>
        </w:rPr>
      </w:pPr>
      <w:r w:rsidRPr="0075468F">
        <w:rPr>
          <w:rFonts w:ascii="Calibri" w:hAnsi="Calibri" w:cs="Calibri"/>
          <w:b/>
          <w:sz w:val="22"/>
          <w:szCs w:val="22"/>
        </w:rPr>
        <w:t>19 december</w:t>
      </w:r>
      <w:r w:rsidR="008E76D5" w:rsidRPr="0075468F">
        <w:rPr>
          <w:rFonts w:ascii="Calibri" w:hAnsi="Calibri" w:cs="Calibri"/>
          <w:b/>
          <w:sz w:val="22"/>
          <w:szCs w:val="22"/>
        </w:rPr>
        <w:t xml:space="preserve"> van 12</w:t>
      </w:r>
      <w:r w:rsidR="00E93DBF" w:rsidRPr="0075468F">
        <w:rPr>
          <w:rFonts w:ascii="Calibri" w:hAnsi="Calibri" w:cs="Calibri"/>
          <w:b/>
          <w:sz w:val="22"/>
          <w:szCs w:val="22"/>
        </w:rPr>
        <w:t>.00 uur</w:t>
      </w:r>
      <w:r w:rsidR="008E76D5" w:rsidRPr="0075468F">
        <w:rPr>
          <w:rFonts w:ascii="Calibri" w:hAnsi="Calibri" w:cs="Calibri"/>
          <w:b/>
          <w:sz w:val="22"/>
          <w:szCs w:val="22"/>
        </w:rPr>
        <w:t xml:space="preserve"> – 17</w:t>
      </w:r>
      <w:r w:rsidR="00E93DBF" w:rsidRPr="0075468F">
        <w:rPr>
          <w:rFonts w:ascii="Calibri" w:hAnsi="Calibri" w:cs="Calibri"/>
          <w:b/>
          <w:sz w:val="22"/>
          <w:szCs w:val="22"/>
        </w:rPr>
        <w:t xml:space="preserve">.00 </w:t>
      </w:r>
      <w:r w:rsidR="008E76D5" w:rsidRPr="0075468F">
        <w:rPr>
          <w:rFonts w:ascii="Calibri" w:hAnsi="Calibri" w:cs="Calibri"/>
          <w:b/>
          <w:sz w:val="22"/>
          <w:szCs w:val="22"/>
        </w:rPr>
        <w:t>uur</w:t>
      </w:r>
      <w:r w:rsidR="00515C28" w:rsidRPr="0075468F">
        <w:rPr>
          <w:rFonts w:ascii="Calibri" w:hAnsi="Calibri" w:cs="Calibri"/>
          <w:b/>
          <w:sz w:val="22"/>
          <w:szCs w:val="22"/>
        </w:rPr>
        <w:t xml:space="preserve"> </w:t>
      </w:r>
      <w:r w:rsidR="00515C28">
        <w:rPr>
          <w:rFonts w:ascii="Calibri" w:hAnsi="Calibri" w:cs="Calibri"/>
          <w:sz w:val="22"/>
          <w:szCs w:val="22"/>
        </w:rPr>
        <w:t>in de Waterkracht in Zutphen</w:t>
      </w:r>
    </w:p>
    <w:p w:rsidR="00E84AA9" w:rsidRPr="00B13B6A" w:rsidRDefault="00E84AA9" w:rsidP="008E76D5">
      <w:pPr>
        <w:pStyle w:val="BasistekstGGNet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Ruys de Beerenbrouckstraat 106, 7204 MN Zutphen</w:t>
      </w:r>
    </w:p>
    <w:bookmarkEnd w:id="0"/>
    <w:p w:rsidR="008E76D5" w:rsidRPr="00B13B6A" w:rsidRDefault="008E76D5" w:rsidP="008E76D5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8E76D5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12.30 uur inloop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13.00 uur Opening Jochanan Huijser ( Raad van Bestuur) en lezing Hendrik Roozen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13.45 uur – 14.30 uur Workshop ronde 1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14.30 uur – 15.00 uur Pauze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15.00 uur – 15.45 uur Workshop ronde 2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16.00 uur Oktay Cavuslar, levensverhaal ervaringsdeskundige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16.30 uur terugkoppeling en afsluiting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17.00 uur einde</w:t>
      </w: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p w:rsidR="0075468F" w:rsidRPr="00B13B6A" w:rsidRDefault="0075468F" w:rsidP="00B125EF">
      <w:pPr>
        <w:pStyle w:val="BasistekstGGNet"/>
        <w:rPr>
          <w:rFonts w:ascii="Calibri" w:hAnsi="Calibri" w:cs="Calibri"/>
          <w:sz w:val="22"/>
          <w:szCs w:val="22"/>
        </w:rPr>
      </w:pPr>
    </w:p>
    <w:sectPr w:rsidR="0075468F" w:rsidRPr="00B13B6A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D5" w:rsidRPr="00F95091" w:rsidRDefault="008E76D5" w:rsidP="00F95091">
      <w:pPr>
        <w:pStyle w:val="Voettekst"/>
      </w:pPr>
    </w:p>
  </w:endnote>
  <w:endnote w:type="continuationSeparator" w:id="0">
    <w:p w:rsidR="008E76D5" w:rsidRPr="00F95091" w:rsidRDefault="008E76D5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D5" w:rsidRPr="00F95091" w:rsidRDefault="008E76D5" w:rsidP="00F95091">
      <w:pPr>
        <w:pStyle w:val="Voettekst"/>
      </w:pPr>
    </w:p>
  </w:footnote>
  <w:footnote w:type="continuationSeparator" w:id="0">
    <w:p w:rsidR="008E76D5" w:rsidRPr="00F95091" w:rsidRDefault="008E76D5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5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007E"/>
    <w:rsid w:val="00262D4E"/>
    <w:rsid w:val="002646C8"/>
    <w:rsid w:val="00280D1D"/>
    <w:rsid w:val="00282B5D"/>
    <w:rsid w:val="00283592"/>
    <w:rsid w:val="00284F09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18A7"/>
    <w:rsid w:val="00334D4B"/>
    <w:rsid w:val="003357BE"/>
    <w:rsid w:val="00335B5E"/>
    <w:rsid w:val="00337DDE"/>
    <w:rsid w:val="00345315"/>
    <w:rsid w:val="00346631"/>
    <w:rsid w:val="00347094"/>
    <w:rsid w:val="00356521"/>
    <w:rsid w:val="00360CFA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C28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3049"/>
    <w:rsid w:val="005B4FAF"/>
    <w:rsid w:val="005B5249"/>
    <w:rsid w:val="005B6607"/>
    <w:rsid w:val="005C3E61"/>
    <w:rsid w:val="005C5603"/>
    <w:rsid w:val="005C6668"/>
    <w:rsid w:val="005D4151"/>
    <w:rsid w:val="005D5E21"/>
    <w:rsid w:val="005E2E3F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6E70E8"/>
    <w:rsid w:val="00703BD3"/>
    <w:rsid w:val="00705849"/>
    <w:rsid w:val="00706308"/>
    <w:rsid w:val="00707C2B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468F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8E76D5"/>
    <w:rsid w:val="008F4534"/>
    <w:rsid w:val="0090254C"/>
    <w:rsid w:val="0090724E"/>
    <w:rsid w:val="00907888"/>
    <w:rsid w:val="00910105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9F3EA5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2D59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6962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3B6A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1592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0354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77E6B"/>
    <w:rsid w:val="00E84AA9"/>
    <w:rsid w:val="00E87FB4"/>
    <w:rsid w:val="00E93DBF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7B9FA20-CF2C-4C5D-B1F5-EEE0EE23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01F8-EC2D-4265-A3E3-8FACE139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Jansen</dc:creator>
  <cp:keywords/>
  <dc:description/>
  <cp:lastModifiedBy>Nebiye Araz-Kaplan</cp:lastModifiedBy>
  <cp:revision>3</cp:revision>
  <cp:lastPrinted>2019-10-07T10:34:00Z</cp:lastPrinted>
  <dcterms:created xsi:type="dcterms:W3CDTF">2019-10-07T10:34:00Z</dcterms:created>
  <dcterms:modified xsi:type="dcterms:W3CDTF">2019-10-07T11:19:00Z</dcterms:modified>
</cp:coreProperties>
</file>